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7777777" w:rsidR="00D36305" w:rsidRDefault="00000000">
      <w:pPr>
        <w:jc w:val="both"/>
        <w:rPr>
          <w:highlight w:val="white"/>
        </w:rPr>
      </w:pPr>
      <w:r>
        <w:rPr>
          <w:highlight w:val="white"/>
        </w:rPr>
        <w:t xml:space="preserve">Dear Valued Customer, </w:t>
      </w:r>
    </w:p>
    <w:p w14:paraId="00000003" w14:textId="77777777" w:rsidR="00D36305" w:rsidRDefault="00000000">
      <w:pPr>
        <w:spacing w:after="0"/>
        <w:jc w:val="both"/>
        <w:rPr>
          <w:b/>
          <w:highlight w:val="white"/>
          <w:u w:val="single"/>
        </w:rPr>
      </w:pPr>
      <w:r>
        <w:rPr>
          <w:b/>
          <w:highlight w:val="white"/>
          <w:u w:val="single"/>
        </w:rPr>
        <w:t>Commitment</w:t>
      </w:r>
    </w:p>
    <w:p w14:paraId="00000004" w14:textId="51087475" w:rsidR="00D36305" w:rsidRDefault="003E3954">
      <w:pPr>
        <w:jc w:val="both"/>
        <w:rPr>
          <w:highlight w:val="white"/>
        </w:rPr>
      </w:pPr>
      <w:proofErr w:type="spellStart"/>
      <w:r w:rsidRPr="003E3954">
        <w:t>PennEngineering</w:t>
      </w:r>
      <w:proofErr w:type="spellEnd"/>
      <w:r w:rsidRPr="003E3954">
        <w:t xml:space="preserve"> </w:t>
      </w:r>
      <w:r w:rsidR="00000000">
        <w:rPr>
          <w:highlight w:val="white"/>
        </w:rPr>
        <w:t>is committed to support responsible sourcing practices. We share the same expectation with all our stakeholders</w:t>
      </w:r>
      <w:r w:rsidR="00000000" w:rsidRPr="003E3954">
        <w:t xml:space="preserve">. </w:t>
      </w:r>
      <w:proofErr w:type="spellStart"/>
      <w:r w:rsidRPr="003E3954">
        <w:t>PennEngineering’s</w:t>
      </w:r>
      <w:proofErr w:type="spellEnd"/>
      <w:r w:rsidR="00000000" w:rsidRPr="003E3954">
        <w:t xml:space="preserve"> </w:t>
      </w:r>
      <w:r w:rsidR="00000000">
        <w:rPr>
          <w:highlight w:val="white"/>
        </w:rPr>
        <w:t xml:space="preserve">Responsible Minerals’ program aligns to the </w:t>
      </w:r>
      <w:hyperlink r:id="rId8">
        <w:r w:rsidR="00000000">
          <w:rPr>
            <w:color w:val="1155CC"/>
            <w:highlight w:val="white"/>
            <w:u w:val="single"/>
          </w:rPr>
          <w:t>OECD Due Diligence Guidance</w:t>
        </w:r>
      </w:hyperlink>
      <w:r w:rsidR="00000000">
        <w:rPr>
          <w:highlight w:val="white"/>
        </w:rPr>
        <w:t>; as such, we aim to proactively identify risks and progressively eliminate those with concern to our supply chain. Client Name_ conducts risk mitigation and due diligence appropriate to the nature of the risks as it pertains to our products, suppliers, or services.</w:t>
      </w:r>
    </w:p>
    <w:p w14:paraId="00000005" w14:textId="77777777" w:rsidR="00D36305" w:rsidRDefault="00000000">
      <w:pPr>
        <w:spacing w:after="0"/>
        <w:jc w:val="both"/>
        <w:rPr>
          <w:b/>
          <w:highlight w:val="white"/>
          <w:u w:val="single"/>
        </w:rPr>
      </w:pPr>
      <w:r>
        <w:rPr>
          <w:b/>
          <w:highlight w:val="white"/>
          <w:u w:val="single"/>
        </w:rPr>
        <w:t>Due Diligence</w:t>
      </w:r>
    </w:p>
    <w:p w14:paraId="00000006" w14:textId="722B819C" w:rsidR="00D36305" w:rsidRDefault="00000000">
      <w:pPr>
        <w:spacing w:after="0"/>
        <w:jc w:val="both"/>
        <w:rPr>
          <w:highlight w:val="white"/>
        </w:rPr>
      </w:pPr>
      <w:r>
        <w:rPr>
          <w:highlight w:val="white"/>
        </w:rPr>
        <w:t xml:space="preserve">In alignment with Step 2 and 3 of the OECD Diligence Guidance, </w:t>
      </w:r>
      <w:proofErr w:type="spellStart"/>
      <w:r w:rsidR="003E3954" w:rsidRPr="003E3954">
        <w:t>PennEngineering</w:t>
      </w:r>
      <w:proofErr w:type="spellEnd"/>
      <w:r w:rsidRPr="003E3954">
        <w:t xml:space="preserve"> </w:t>
      </w:r>
      <w:r>
        <w:rPr>
          <w:highlight w:val="white"/>
        </w:rPr>
        <w:t xml:space="preserve">continuously surveys its direct suppliers to verify the presence of </w:t>
      </w:r>
      <w:hyperlink r:id="rId9">
        <w:r>
          <w:rPr>
            <w:color w:val="1155CC"/>
            <w:highlight w:val="white"/>
            <w:u w:val="single"/>
          </w:rPr>
          <w:t>Smelters of Interest</w:t>
        </w:r>
      </w:hyperlink>
      <w:r>
        <w:rPr>
          <w:highlight w:val="white"/>
        </w:rPr>
        <w:t xml:space="preserve"> (e.g. smelters or refiners that have shown </w:t>
      </w:r>
      <w:r>
        <w:rPr>
          <w:i/>
          <w:highlight w:val="white"/>
        </w:rPr>
        <w:t>red flag</w:t>
      </w:r>
      <w:r>
        <w:rPr>
          <w:highlight w:val="white"/>
        </w:rPr>
        <w:t xml:space="preserve"> risks as per OECD Due Diligence Guidance). </w:t>
      </w:r>
    </w:p>
    <w:p w14:paraId="00000007" w14:textId="77777777" w:rsidR="00D36305" w:rsidRDefault="00D36305">
      <w:pPr>
        <w:spacing w:after="0"/>
        <w:jc w:val="both"/>
        <w:rPr>
          <w:highlight w:val="white"/>
        </w:rPr>
      </w:pPr>
    </w:p>
    <w:p w14:paraId="00000008" w14:textId="77777777" w:rsidR="00D36305" w:rsidRDefault="00000000">
      <w:pPr>
        <w:spacing w:after="0"/>
        <w:jc w:val="both"/>
        <w:rPr>
          <w:highlight w:val="white"/>
        </w:rPr>
      </w:pPr>
      <w:r>
        <w:rPr>
          <w:highlight w:val="white"/>
        </w:rPr>
        <w:t>The goal of the risk-based due diligence approach described above is to:</w:t>
      </w:r>
    </w:p>
    <w:p w14:paraId="00000009" w14:textId="77777777" w:rsidR="00D36305" w:rsidRDefault="00000000">
      <w:pPr>
        <w:numPr>
          <w:ilvl w:val="0"/>
          <w:numId w:val="1"/>
        </w:numPr>
        <w:spacing w:after="0"/>
        <w:jc w:val="both"/>
        <w:rPr>
          <w:highlight w:val="white"/>
        </w:rPr>
      </w:pPr>
      <w:r>
        <w:rPr>
          <w:highlight w:val="white"/>
        </w:rPr>
        <w:t>Educate the supply chain of current risks and concerns.</w:t>
      </w:r>
    </w:p>
    <w:p w14:paraId="0000000A" w14:textId="77777777" w:rsidR="00D36305" w:rsidRDefault="00000000">
      <w:pPr>
        <w:numPr>
          <w:ilvl w:val="0"/>
          <w:numId w:val="1"/>
        </w:numPr>
        <w:spacing w:after="0"/>
        <w:jc w:val="both"/>
        <w:rPr>
          <w:highlight w:val="white"/>
        </w:rPr>
      </w:pPr>
      <w:r>
        <w:rPr>
          <w:highlight w:val="white"/>
        </w:rPr>
        <w:t>Support informed purchasing behaviours throughout the supply chain.</w:t>
      </w:r>
    </w:p>
    <w:p w14:paraId="0000000B" w14:textId="77777777" w:rsidR="00D36305" w:rsidRDefault="00000000">
      <w:pPr>
        <w:numPr>
          <w:ilvl w:val="0"/>
          <w:numId w:val="1"/>
        </w:numPr>
        <w:spacing w:after="0"/>
        <w:jc w:val="both"/>
        <w:rPr>
          <w:highlight w:val="white"/>
        </w:rPr>
      </w:pPr>
      <w:r>
        <w:rPr>
          <w:highlight w:val="white"/>
        </w:rPr>
        <w:t>Encourage suppliers to perform similar due diligence activities on their end.</w:t>
      </w:r>
    </w:p>
    <w:p w14:paraId="0000000C" w14:textId="77777777" w:rsidR="00D36305" w:rsidRDefault="00D36305">
      <w:pPr>
        <w:spacing w:after="0"/>
        <w:jc w:val="both"/>
        <w:rPr>
          <w:highlight w:val="yellow"/>
        </w:rPr>
      </w:pPr>
    </w:p>
    <w:p w14:paraId="0000000E" w14:textId="77777777" w:rsidR="00D36305" w:rsidRDefault="00000000">
      <w:pPr>
        <w:spacing w:after="0"/>
        <w:jc w:val="both"/>
        <w:rPr>
          <w:b/>
          <w:highlight w:val="white"/>
          <w:u w:val="single"/>
        </w:rPr>
      </w:pPr>
      <w:r>
        <w:rPr>
          <w:b/>
          <w:highlight w:val="white"/>
          <w:u w:val="single"/>
        </w:rPr>
        <w:t>Disclaimer</w:t>
      </w:r>
    </w:p>
    <w:p w14:paraId="0000000F" w14:textId="7EA87092" w:rsidR="00D36305" w:rsidRDefault="003E3954">
      <w:pPr>
        <w:spacing w:after="0"/>
        <w:jc w:val="both"/>
        <w:rPr>
          <w:highlight w:val="white"/>
        </w:rPr>
      </w:pPr>
      <w:proofErr w:type="spellStart"/>
      <w:r w:rsidRPr="003E3954">
        <w:t>PennEngineering</w:t>
      </w:r>
      <w:proofErr w:type="spellEnd"/>
      <w:r w:rsidR="00000000">
        <w:rPr>
          <w:highlight w:val="white"/>
        </w:rPr>
        <w:t xml:space="preserve"> does not purchase minerals directly from mines, smelters, or refiners. Given the fact The </w:t>
      </w:r>
      <w:proofErr w:type="spellStart"/>
      <w:r w:rsidRPr="003E3954">
        <w:t>PennEngineering</w:t>
      </w:r>
      <w:proofErr w:type="spellEnd"/>
      <w:r w:rsidR="00000000">
        <w:rPr>
          <w:highlight w:val="white"/>
        </w:rPr>
        <w:t xml:space="preserve"> is layers removed from upstream stakeholders, it is difficult to effectively influence their purchasing behaviours, especially within a short period of time.</w:t>
      </w:r>
    </w:p>
    <w:p w14:paraId="00000011" w14:textId="77777777" w:rsidR="00D36305" w:rsidRDefault="00000000">
      <w:pPr>
        <w:spacing w:after="0"/>
        <w:jc w:val="both"/>
        <w:rPr>
          <w:highlight w:val="white"/>
        </w:rPr>
      </w:pPr>
      <w:r>
        <w:rPr>
          <w:highlight w:val="white"/>
        </w:rPr>
        <w:t>Declarations (CMRTs) look retrospectively at procurement; so, at the time a CMRT is provided, material from smelters may already be part of the company’s supply chain and products. Therefore, actions requesting immediate removal (stopping the use of material from a smelter) of a smelter of concern cannot always be fulfilled.</w:t>
      </w:r>
    </w:p>
    <w:p w14:paraId="00000012" w14:textId="77777777" w:rsidR="00D36305" w:rsidRDefault="00D36305">
      <w:pPr>
        <w:spacing w:after="0"/>
        <w:jc w:val="both"/>
        <w:rPr>
          <w:highlight w:val="white"/>
        </w:rPr>
      </w:pPr>
    </w:p>
    <w:p w14:paraId="00000013" w14:textId="77777777" w:rsidR="00D36305" w:rsidRDefault="00000000">
      <w:pPr>
        <w:spacing w:after="0"/>
        <w:jc w:val="both"/>
        <w:rPr>
          <w:b/>
          <w:highlight w:val="white"/>
          <w:u w:val="single"/>
        </w:rPr>
      </w:pPr>
      <w:r>
        <w:rPr>
          <w:b/>
          <w:highlight w:val="white"/>
          <w:u w:val="single"/>
        </w:rPr>
        <w:t>Due Diligence Partner</w:t>
      </w:r>
    </w:p>
    <w:p w14:paraId="00000014" w14:textId="77777777" w:rsidR="00D36305" w:rsidRDefault="00000000">
      <w:pPr>
        <w:spacing w:after="0"/>
        <w:jc w:val="both"/>
        <w:rPr>
          <w:highlight w:val="white"/>
        </w:rPr>
      </w:pPr>
      <w:r>
        <w:rPr>
          <w:highlight w:val="white"/>
        </w:rPr>
        <w:t xml:space="preserve">We partner with a third-party company, </w:t>
      </w:r>
      <w:hyperlink r:id="rId10">
        <w:r>
          <w:rPr>
            <w:color w:val="1155CC"/>
            <w:highlight w:val="white"/>
            <w:u w:val="single"/>
          </w:rPr>
          <w:t>Assent</w:t>
        </w:r>
      </w:hyperlink>
      <w:r>
        <w:rPr>
          <w:highlight w:val="white"/>
        </w:rPr>
        <w:t xml:space="preserve"> to assist in our survey and compliance endeavors. Assent's Conflict Minerals due diligence program actively identifies and manages supply chain risks. It also helps gather, store, and validate conflict mineral data while streamlining supply chain communications with </w:t>
      </w:r>
      <w:proofErr w:type="gramStart"/>
      <w:r>
        <w:rPr>
          <w:highlight w:val="white"/>
        </w:rPr>
        <w:t>stakeholders  in</w:t>
      </w:r>
      <w:proofErr w:type="gramEnd"/>
      <w:r>
        <w:rPr>
          <w:highlight w:val="white"/>
        </w:rPr>
        <w:t xml:space="preserve"> accordance with the OECD Due Diligence Guidance.</w:t>
      </w:r>
    </w:p>
    <w:p w14:paraId="00000015" w14:textId="77777777" w:rsidR="00D36305" w:rsidRDefault="00D36305">
      <w:pPr>
        <w:spacing w:after="0"/>
        <w:jc w:val="both"/>
        <w:rPr>
          <w:highlight w:val="white"/>
        </w:rPr>
      </w:pPr>
    </w:p>
    <w:p w14:paraId="00000016" w14:textId="44292E8A" w:rsidR="00D36305" w:rsidRDefault="00000000">
      <w:pPr>
        <w:spacing w:after="0"/>
        <w:jc w:val="both"/>
      </w:pPr>
      <w:r>
        <w:rPr>
          <w:highlight w:val="white"/>
        </w:rPr>
        <w:t xml:space="preserve">For additional information, please see </w:t>
      </w:r>
      <w:r w:rsidR="003E3954" w:rsidRPr="003E3954">
        <w:t>our</w:t>
      </w:r>
      <w:r w:rsidRPr="003E3954">
        <w:t xml:space="preserve"> </w:t>
      </w:r>
      <w:r>
        <w:rPr>
          <w:highlight w:val="white"/>
        </w:rPr>
        <w:t xml:space="preserve">Conflict Mineral Policy </w:t>
      </w:r>
      <w:r>
        <w:t xml:space="preserve">Statement </w:t>
      </w:r>
      <w:r w:rsidR="003E3954">
        <w:t xml:space="preserve">at </w:t>
      </w:r>
      <w:hyperlink r:id="rId11" w:history="1">
        <w:r w:rsidR="003E3954" w:rsidRPr="00656947">
          <w:rPr>
            <w:rStyle w:val="Hyperlink"/>
          </w:rPr>
          <w:t>www.pemnet.com</w:t>
        </w:r>
      </w:hyperlink>
      <w:r w:rsidR="003E3954">
        <w:t xml:space="preserve"> </w:t>
      </w:r>
      <w:r>
        <w:t xml:space="preserve"> or contact us directly. </w:t>
      </w:r>
    </w:p>
    <w:p w14:paraId="00000017" w14:textId="77777777" w:rsidR="00D36305" w:rsidRDefault="00D36305">
      <w:pPr>
        <w:spacing w:after="0"/>
        <w:jc w:val="both"/>
        <w:rPr>
          <w:color w:val="222222"/>
        </w:rPr>
      </w:pPr>
    </w:p>
    <w:p w14:paraId="00000018" w14:textId="77777777" w:rsidR="00D36305" w:rsidRDefault="00000000">
      <w:pPr>
        <w:spacing w:after="0"/>
        <w:jc w:val="both"/>
        <w:rPr>
          <w:color w:val="222222"/>
        </w:rPr>
      </w:pPr>
      <w:r>
        <w:rPr>
          <w:color w:val="222222"/>
        </w:rPr>
        <w:t>Thank you,</w:t>
      </w:r>
    </w:p>
    <w:p w14:paraId="00000019" w14:textId="64E19755" w:rsidR="00D36305" w:rsidRDefault="00D36305">
      <w:pPr>
        <w:spacing w:after="0"/>
        <w:jc w:val="both"/>
      </w:pPr>
    </w:p>
    <w:p w14:paraId="2C12DD58" w14:textId="77777777" w:rsidR="003E3954" w:rsidRDefault="003E3954" w:rsidP="003E3954">
      <w:pPr>
        <w:spacing w:after="0" w:line="240" w:lineRule="auto"/>
      </w:pPr>
      <w:r>
        <w:t>Rocky</w:t>
      </w:r>
    </w:p>
    <w:p w14:paraId="6AC23549" w14:textId="77777777" w:rsidR="003E3954" w:rsidRDefault="003E3954" w:rsidP="003E3954">
      <w:pPr>
        <w:spacing w:after="0" w:line="240" w:lineRule="auto"/>
      </w:pPr>
    </w:p>
    <w:p w14:paraId="3A9C6B7B" w14:textId="77777777" w:rsidR="003E3954" w:rsidRDefault="003E3954" w:rsidP="003E3954">
      <w:pPr>
        <w:spacing w:after="0" w:line="240" w:lineRule="auto"/>
      </w:pPr>
    </w:p>
    <w:p w14:paraId="1DD421C1" w14:textId="77777777" w:rsidR="003E3954" w:rsidRDefault="003E3954" w:rsidP="003E3954">
      <w:pPr>
        <w:spacing w:after="0" w:line="240" w:lineRule="auto"/>
      </w:pPr>
      <w:r>
        <w:t>Rocky Pinheiro, Ph.D.</w:t>
      </w:r>
    </w:p>
    <w:p w14:paraId="6E1FBB4F" w14:textId="22C89EF4" w:rsidR="003E3954" w:rsidRDefault="003E3954" w:rsidP="003E3954">
      <w:pPr>
        <w:spacing w:after="0" w:line="240" w:lineRule="auto"/>
      </w:pPr>
      <w:r>
        <w:t>Global Vice President of Quality</w:t>
      </w:r>
      <w:r>
        <w:t xml:space="preserve"> and Innovation</w:t>
      </w:r>
      <w:r>
        <w:t xml:space="preserve">, </w:t>
      </w:r>
      <w:proofErr w:type="spellStart"/>
      <w:r>
        <w:t>PennEngineering</w:t>
      </w:r>
      <w:proofErr w:type="spellEnd"/>
    </w:p>
    <w:p w14:paraId="3D777D68" w14:textId="3CB35C37" w:rsidR="003E3954" w:rsidRPr="003E3954" w:rsidRDefault="003E3954" w:rsidP="003E3954">
      <w:pPr>
        <w:spacing w:after="0" w:line="240" w:lineRule="auto"/>
      </w:pPr>
      <w:hyperlink r:id="rId12" w:history="1">
        <w:r w:rsidRPr="007D2319">
          <w:rPr>
            <w:rStyle w:val="Hyperlink"/>
          </w:rPr>
          <w:t>rpinheiro@pemnet.com</w:t>
        </w:r>
      </w:hyperlink>
    </w:p>
    <w:sectPr w:rsidR="003E3954" w:rsidRPr="003E3954">
      <w:headerReference w:type="default" r:id="rId13"/>
      <w:pgSz w:w="12240" w:h="15840"/>
      <w:pgMar w:top="1276" w:right="1440" w:bottom="709"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CDA50" w14:textId="77777777" w:rsidR="006D1DC4" w:rsidRDefault="006D1DC4">
      <w:pPr>
        <w:spacing w:after="0" w:line="240" w:lineRule="auto"/>
      </w:pPr>
      <w:r>
        <w:separator/>
      </w:r>
    </w:p>
  </w:endnote>
  <w:endnote w:type="continuationSeparator" w:id="0">
    <w:p w14:paraId="085107D1" w14:textId="77777777" w:rsidR="006D1DC4" w:rsidRDefault="006D1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1E33C" w14:textId="77777777" w:rsidR="006D1DC4" w:rsidRDefault="006D1DC4">
      <w:pPr>
        <w:spacing w:after="0" w:line="240" w:lineRule="auto"/>
      </w:pPr>
      <w:r>
        <w:separator/>
      </w:r>
    </w:p>
  </w:footnote>
  <w:footnote w:type="continuationSeparator" w:id="0">
    <w:p w14:paraId="2107EAE0" w14:textId="77777777" w:rsidR="006D1DC4" w:rsidRDefault="006D1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A" w14:textId="0E75C7DB" w:rsidR="00D36305" w:rsidRDefault="003E3954">
    <w:pPr>
      <w:pStyle w:val="Heading1"/>
      <w:jc w:val="both"/>
    </w:pPr>
    <w:r>
      <w:rPr>
        <w:noProof/>
      </w:rPr>
      <w:drawing>
        <wp:inline distT="0" distB="0" distL="0" distR="0" wp14:anchorId="4B383989" wp14:editId="2CD88436">
          <wp:extent cx="5943600" cy="833120"/>
          <wp:effectExtent l="0" t="0" r="0" b="5080"/>
          <wp:docPr id="2" name="Picture 2" descr="Macintosh HD:Users:MRossi:Mike's Files:PennEngineering:Letterhead:Corporate Danbo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Rossi:Mike's Files:PennEngineering:Letterhead:Corporate Danbo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331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3908DB"/>
    <w:multiLevelType w:val="multilevel"/>
    <w:tmpl w:val="C15C9F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82068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305"/>
    <w:rsid w:val="003E3954"/>
    <w:rsid w:val="006D1DC4"/>
    <w:rsid w:val="00C71900"/>
    <w:rsid w:val="00D36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4CF82"/>
  <w15:docId w15:val="{BADC9D79-CA28-4375-B461-11D057E02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7EB"/>
  </w:style>
  <w:style w:type="paragraph" w:styleId="Heading1">
    <w:name w:val="heading 1"/>
    <w:basedOn w:val="Normal"/>
    <w:next w:val="Normal"/>
    <w:link w:val="Heading1Char"/>
    <w:uiPriority w:val="9"/>
    <w:qFormat/>
    <w:rsid w:val="007417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41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417EB"/>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E39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954"/>
  </w:style>
  <w:style w:type="paragraph" w:styleId="Footer">
    <w:name w:val="footer"/>
    <w:basedOn w:val="Normal"/>
    <w:link w:val="FooterChar"/>
    <w:uiPriority w:val="99"/>
    <w:unhideWhenUsed/>
    <w:rsid w:val="003E39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954"/>
  </w:style>
  <w:style w:type="character" w:styleId="Hyperlink">
    <w:name w:val="Hyperlink"/>
    <w:basedOn w:val="DefaultParagraphFont"/>
    <w:uiPriority w:val="99"/>
    <w:unhideWhenUsed/>
    <w:rsid w:val="003E3954"/>
    <w:rPr>
      <w:color w:val="0563C1" w:themeColor="hyperlink"/>
      <w:u w:val="single"/>
    </w:rPr>
  </w:style>
  <w:style w:type="character" w:styleId="UnresolvedMention">
    <w:name w:val="Unresolved Mention"/>
    <w:basedOn w:val="DefaultParagraphFont"/>
    <w:uiPriority w:val="99"/>
    <w:semiHidden/>
    <w:unhideWhenUsed/>
    <w:rsid w:val="003E3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oecd.org/corporate/mne/GuidanceEdition2.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pinheiro@pemne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mne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ssentcompliance.com/about-us/" TargetMode="External"/><Relationship Id="rId4" Type="http://schemas.openxmlformats.org/officeDocument/2006/relationships/settings" Target="settings.xml"/><Relationship Id="rId9" Type="http://schemas.openxmlformats.org/officeDocument/2006/relationships/hyperlink" Target="https://www.assentcompliance.com/assentu/resources/guide/smelters-of-interes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ZF8zCGHRMXWE/+wgTvL1QWlAkw==">AMUW2mWk9bG4tQWh+otooNf1mR9R4jE9nxx/6lmcfbJWi5iynfrKo9pfkbO3GcHWyjTLWFJpmeXpXlLHJSc7YKQE8MQPvvt6qWlFcflrDDh7TJDaRpGUS7g=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2264</Characters>
  <Application>Microsoft Office Word</Application>
  <DocSecurity>0</DocSecurity>
  <Lines>18</Lines>
  <Paragraphs>5</Paragraphs>
  <ScaleCrop>false</ScaleCrop>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Olukayode Sadiq</dc:creator>
  <cp:lastModifiedBy>Pinheiro, Rocky</cp:lastModifiedBy>
  <cp:revision>2</cp:revision>
  <dcterms:created xsi:type="dcterms:W3CDTF">2023-03-15T13:46:00Z</dcterms:created>
  <dcterms:modified xsi:type="dcterms:W3CDTF">2023-03-15T13:46:00Z</dcterms:modified>
</cp:coreProperties>
</file>